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spacing w:lineRule="atLeast" w:line="100"/>
        <w:ind w:left="-360" w:right="-240" w:hanging="0"/>
        <w:jc w:val="center"/>
        <w:rPr/>
      </w:pPr>
      <w:r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  <w:lang w:val="ru-RU"/>
        </w:rPr>
        <w:t xml:space="preserve">И ВЫСШЕГО </w:t>
      </w:r>
      <w:r>
        <w:rPr>
          <w:sz w:val="28"/>
          <w:szCs w:val="28"/>
        </w:rPr>
        <w:t>ОБРАЗОВАНИЯ РОССИЙСКОЙ ФЕДЕРАЦИИ</w:t>
      </w:r>
    </w:p>
    <w:p>
      <w:pPr>
        <w:pStyle w:val="Normal"/>
        <w:bidi w:val="0"/>
        <w:spacing w:lineRule="atLeast" w:line="100"/>
        <w:ind w:left="-360" w:right="-240" w:hanging="0"/>
        <w:jc w:val="center"/>
        <w:rPr/>
      </w:pPr>
      <w:r>
        <w:rPr>
          <w:sz w:val="28"/>
          <w:szCs w:val="28"/>
        </w:rPr>
        <w:t>ФЕДЕРАЛЬНОЕ ГОСУДАРСТВЕННОЕ БЮДЖЕТНОЕ</w:t>
      </w:r>
    </w:p>
    <w:p>
      <w:pPr>
        <w:pStyle w:val="Normal"/>
        <w:bidi w:val="0"/>
        <w:spacing w:lineRule="atLeast" w:line="100"/>
        <w:ind w:left="-360" w:right="-240" w:hanging="0"/>
        <w:jc w:val="center"/>
        <w:rPr/>
      </w:pPr>
      <w:r>
        <w:rPr>
          <w:sz w:val="28"/>
          <w:szCs w:val="28"/>
        </w:rPr>
        <w:t xml:space="preserve">ОБРАЗОВАТЕЛЬНОЕ УЧРЕЖДЕНИЕ ВЫСШЕГО ОБРАЗОВАНИЯ      </w:t>
      </w:r>
    </w:p>
    <w:p>
      <w:pPr>
        <w:pStyle w:val="Normal"/>
        <w:bidi w:val="0"/>
        <w:spacing w:lineRule="atLeast" w:line="100"/>
        <w:ind w:left="-360" w:right="-240" w:hanging="0"/>
        <w:jc w:val="center"/>
        <w:rPr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«ДОНСКОЙ ГОСУДАРСТВЕННЫЙ ТЕХНИЧЕСКИЙ УНИВЕРСИТЕТ»</w:t>
      </w:r>
    </w:p>
    <w:p>
      <w:pPr>
        <w:pStyle w:val="Normal"/>
        <w:bidi w:val="0"/>
        <w:spacing w:lineRule="atLeast" w:line="100"/>
        <w:ind w:left="-360" w:right="-240" w:hanging="0"/>
        <w:jc w:val="center"/>
        <w:rPr/>
      </w:pPr>
      <w:r>
        <w:rPr>
          <w:sz w:val="28"/>
          <w:szCs w:val="28"/>
        </w:rPr>
        <w:t>(ДГТУ)</w:t>
      </w:r>
    </w:p>
    <w:p>
      <w:pPr>
        <w:pStyle w:val="Normal"/>
        <w:bidi w:val="0"/>
        <w:spacing w:lineRule="atLeast" w:line="10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 xml:space="preserve">Факультет Медиакоммуникации  и  мультимедийные технологии 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 xml:space="preserve">Кафедра «Связи с общественностью» 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 xml:space="preserve">МЕТОДИЧЕСКИЕ РЕКОМЕНДАЦИИ И ТЕМАТИКА </w:t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 xml:space="preserve">КОНТРОЛЬНЫХ РАБОТ ПО ДИСЦИПЛИНЕ </w:t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Интегрированные коммуникации (</w:t>
      </w:r>
      <w:r>
        <w:rPr>
          <w:b/>
          <w:sz w:val="28"/>
          <w:szCs w:val="28"/>
        </w:rPr>
        <w:t>Интегрированные коммуникации (ТПСО)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»</w:t>
      </w:r>
    </w:p>
    <w:p>
      <w:pPr>
        <w:pStyle w:val="Normal"/>
        <w:bidi w:val="0"/>
        <w:jc w:val="center"/>
        <w:rPr/>
      </w:pPr>
      <w:bookmarkStart w:id="0" w:name="__DdeLink__453_1130970405"/>
      <w:bookmarkEnd w:id="0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(для студентов  заочной формы </w:t>
      </w:r>
      <w:bookmarkStart w:id="1" w:name="_GoBack"/>
      <w:bookmarkEnd w:id="1"/>
      <w:r>
        <w:rPr>
          <w:b/>
          <w:sz w:val="28"/>
          <w:szCs w:val="28"/>
        </w:rPr>
        <w:t xml:space="preserve"> обучения </w:t>
      </w:r>
    </w:p>
    <w:p>
      <w:pPr>
        <w:pStyle w:val="Normal"/>
        <w:bidi w:val="0"/>
        <w:jc w:val="center"/>
        <w:rPr/>
      </w:pPr>
      <w:r>
        <w:rPr>
          <w:b/>
          <w:sz w:val="28"/>
          <w:szCs w:val="28"/>
        </w:rPr>
        <w:t>по направлению  42.03.01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«Реклама и связи с общественностью»)</w:t>
      </w:r>
    </w:p>
    <w:p>
      <w:pPr>
        <w:pStyle w:val="Normal"/>
        <w:bidi w:val="0"/>
        <w:jc w:val="center"/>
        <w:rPr/>
      </w:pPr>
      <w:r>
        <w:rPr/>
      </w:r>
      <w:bookmarkStart w:id="2" w:name="__DdeLink__453_11309704051"/>
      <w:bookmarkStart w:id="3" w:name="__DdeLink__453_11309704051"/>
      <w:bookmarkEnd w:id="3"/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>
          <w:sz w:val="28"/>
          <w:szCs w:val="28"/>
        </w:rPr>
        <w:t>Ростов-на-Дону, 202</w:t>
      </w:r>
      <w:r>
        <w:rPr>
          <w:sz w:val="28"/>
          <w:szCs w:val="28"/>
        </w:rPr>
        <w:t>4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>
          <w:sz w:val="28"/>
          <w:szCs w:val="28"/>
        </w:rPr>
        <w:t xml:space="preserve">УДК </w:t>
      </w:r>
    </w:p>
    <w:p>
      <w:pPr>
        <w:pStyle w:val="Normal"/>
        <w:bidi w:val="0"/>
        <w:ind w:left="0" w:right="0" w:firstLine="709"/>
        <w:jc w:val="left"/>
        <w:rPr/>
      </w:pPr>
      <w:r>
        <w:rPr/>
      </w:r>
    </w:p>
    <w:p>
      <w:pPr>
        <w:pStyle w:val="Normal"/>
        <w:bidi w:val="0"/>
        <w:ind w:left="0" w:right="0" w:firstLine="709"/>
        <w:jc w:val="left"/>
        <w:rPr/>
      </w:pPr>
      <w:r>
        <w:rPr>
          <w:sz w:val="28"/>
          <w:szCs w:val="28"/>
        </w:rPr>
        <w:t>Составитель: канд. филос. наук, доц.  Л.Г.Орехова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spacing w:lineRule="auto" w:line="360"/>
        <w:ind w:left="0" w:right="0" w:firstLine="709"/>
        <w:jc w:val="both"/>
        <w:rPr/>
      </w:pPr>
      <w:r>
        <w:rPr>
          <w:sz w:val="28"/>
          <w:szCs w:val="28"/>
        </w:rPr>
        <w:t xml:space="preserve">Интегрированные коммуникации (ТПСО):  для </w:t>
      </w:r>
      <w:r>
        <w:rPr>
          <w:bCs/>
          <w:sz w:val="28"/>
          <w:szCs w:val="28"/>
        </w:rPr>
        <w:t xml:space="preserve">  самостоятельной подготовке</w:t>
      </w:r>
      <w:r>
        <w:rPr>
          <w:sz w:val="28"/>
          <w:szCs w:val="28"/>
        </w:rPr>
        <w:t xml:space="preserve"> студентов  по дисциплине «Интегрированные коммуникации (ТПСО)» для студентов  направления 42.03.01 Реклама и связи с общественностью для  заочной  формы  обучения методические рекомендации и тематика контрольных работ.</w:t>
      </w:r>
    </w:p>
    <w:p>
      <w:pPr>
        <w:pStyle w:val="Normal"/>
        <w:bidi w:val="0"/>
        <w:ind w:left="0" w:right="0" w:firstLine="709"/>
        <w:jc w:val="left"/>
        <w:rPr/>
      </w:pPr>
      <w:r>
        <w:rPr/>
      </w:r>
    </w:p>
    <w:p>
      <w:pPr>
        <w:pStyle w:val="Normal"/>
        <w:bidi w:val="0"/>
        <w:ind w:left="0" w:right="0" w:firstLine="709"/>
        <w:jc w:val="left"/>
        <w:rPr/>
      </w:pPr>
      <w:r>
        <w:rPr/>
      </w:r>
    </w:p>
    <w:p>
      <w:pPr>
        <w:pStyle w:val="1"/>
        <w:numPr>
          <w:ilvl w:val="0"/>
          <w:numId w:val="1"/>
        </w:numPr>
        <w:bidi w:val="0"/>
        <w:ind w:left="432" w:right="0" w:hanging="432"/>
        <w:rPr/>
      </w:pPr>
      <w:r>
        <w:rPr>
          <w:sz w:val="28"/>
          <w:szCs w:val="28"/>
        </w:rPr>
        <w:t xml:space="preserve">Содержат </w:t>
      </w:r>
      <w:r>
        <w:rPr>
          <w:sz w:val="28"/>
          <w:szCs w:val="28"/>
          <w:lang w:val="ru-RU"/>
        </w:rPr>
        <w:t>рекомендации по выполнению контрольных работ</w:t>
      </w:r>
      <w:r>
        <w:rPr>
          <w:sz w:val="28"/>
          <w:szCs w:val="28"/>
        </w:rPr>
        <w:t xml:space="preserve">, темы </w:t>
      </w:r>
      <w:r>
        <w:rPr>
          <w:sz w:val="28"/>
          <w:szCs w:val="28"/>
          <w:lang w:val="ru-RU"/>
        </w:rPr>
        <w:t>контрольных работ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чебно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>методическое и информационное обеспечение дисциплины</w:t>
      </w:r>
      <w:r>
        <w:rPr>
          <w:sz w:val="28"/>
          <w:szCs w:val="28"/>
          <w:lang w:val="ru-RU"/>
        </w:rPr>
        <w:t>.</w:t>
      </w:r>
    </w:p>
    <w:p>
      <w:pPr>
        <w:pStyle w:val="Normal"/>
        <w:bidi w:val="0"/>
        <w:spacing w:lineRule="auto" w:line="360"/>
        <w:ind w:left="0" w:right="0" w:firstLine="851"/>
        <w:jc w:val="both"/>
        <w:rPr/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Normal"/>
        <w:bidi w:val="0"/>
        <w:spacing w:lineRule="auto" w:line="360"/>
        <w:ind w:left="0" w:right="0" w:firstLine="851"/>
        <w:jc w:val="both"/>
        <w:rPr/>
      </w:pPr>
      <w:r>
        <w:rPr>
          <w:sz w:val="28"/>
          <w:szCs w:val="28"/>
        </w:rPr>
        <w:t>Предназначено студентам и преподавателям.</w:t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709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firstLine="680"/>
        <w:jc w:val="both"/>
        <w:rPr/>
      </w:pPr>
      <w:r>
        <w:rPr>
          <w:rFonts w:eastAsia="Times New Roman" w:cs="Times New Roman"/>
          <w:sz w:val="28"/>
          <w:szCs w:val="28"/>
        </w:rPr>
        <w:t xml:space="preserve">  </w:t>
      </w:r>
      <w:r>
        <w:rPr>
          <w:rFonts w:eastAsia="Times New Roman" w:cs="Times New Roman"/>
          <w:sz w:val="28"/>
          <w:szCs w:val="28"/>
        </w:rPr>
        <w:t xml:space="preserve">Изучение курса «Интегрированные коммуникации (ТПСО)» позволяет студентам получить объем знаний и практических навыков, необходимых для осуществления профессиональной деятельности в области рекламы и связей с общественностью. Формирование связей с общественностью в современном обществе является важным компонентом работы предприятий, организаций, компаний, а владение компетенциями менеджера по коммуникациям делает выпускников востребованными на рынке труда. Сегодня необходимым условием получения высоких результатов в коммерческой и некоммерческой деятельности становится организация связей с общественностью, формирование достойного имиджа и деловой репутации предприятия. </w:t>
      </w:r>
    </w:p>
    <w:p>
      <w:pPr>
        <w:pStyle w:val="Normal"/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/>
          <w:sz w:val="28"/>
          <w:szCs w:val="28"/>
        </w:rPr>
        <w:t xml:space="preserve">Цель дисциплины «Интегрированные коммуникации (ТПСО)» – научить студентов теоретическому осмыслению процесса установления общественных связей, практическому применению средств и инструментов PR в различных сферах. </w:t>
      </w:r>
    </w:p>
    <w:p>
      <w:pPr>
        <w:pStyle w:val="Normal"/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/>
          <w:sz w:val="28"/>
          <w:szCs w:val="28"/>
        </w:rPr>
        <w:t xml:space="preserve">В соответствии с целями и задачами курса на лекциях студенты знакомятся с основными понятиями, состоянием рынка коммуникационных услуг и перспективами его развития, инструментами и технологиями связей с общественностью. </w:t>
      </w:r>
    </w:p>
    <w:p>
      <w:pPr>
        <w:pStyle w:val="Normal"/>
        <w:bidi w:val="0"/>
        <w:spacing w:lineRule="auto" w:line="360" w:before="0" w:after="0"/>
        <w:ind w:left="0" w:right="0" w:firstLine="680"/>
        <w:jc w:val="both"/>
        <w:rPr/>
      </w:pPr>
      <w:r>
        <w:rPr>
          <w:sz w:val="28"/>
          <w:szCs w:val="28"/>
        </w:rPr>
        <w:t>К промежуточной аттестации  студент должен выполнить контрольную работу, которая должна соответствовать предъявляемым требованиям к письменным работам по оформлению и содержанию, изложенных в документах ДГТУ: «Правила оформления письменных работ  обучающихся для гуманитарных направлений подготовки» и «Правила применения шаблонов оформления письменных работ обучающихся».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b/>
          <w:bCs/>
          <w:sz w:val="28"/>
          <w:szCs w:val="28"/>
        </w:rPr>
        <w:t>Контрольная работа –</w:t>
      </w:r>
      <w:r>
        <w:rPr>
          <w:sz w:val="28"/>
          <w:szCs w:val="28"/>
        </w:rPr>
        <w:t xml:space="preserve"> одна из основных форм межсессионных заданий для студентов заочной формы обучения. 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«Интегрированные коммуникации (ТПСО)». Согласно учебному плану студент заочной формы обучения обязан выполнить одну контрольную работу за семестр. </w:t>
      </w:r>
      <w:r>
        <w:rPr>
          <w:b/>
          <w:sz w:val="28"/>
          <w:szCs w:val="28"/>
        </w:rPr>
        <w:t>Номер контрольной работы должен соответствовать последней цифре номера зачетной книжки студента</w:t>
      </w:r>
      <w:r>
        <w:rPr>
          <w:sz w:val="28"/>
          <w:szCs w:val="28"/>
        </w:rPr>
        <w:t xml:space="preserve">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и титульного листа работы смотрите в следующих документах ДГТУ: «Правила оформления письменных работ  обучающихся для гуманитарных направлений подготовки»  </w:t>
      </w:r>
      <w:bookmarkStart w:id="4" w:name="__DdeLink__6245_721813297"/>
      <w:r>
        <w:rPr>
          <w:sz w:val="28"/>
          <w:szCs w:val="28"/>
        </w:rPr>
        <w:t>и «Правила применения шаблонов оформления письменных работ обучающихся</w:t>
      </w:r>
      <w:bookmarkEnd w:id="4"/>
      <w:r>
        <w:rPr>
          <w:sz w:val="28"/>
          <w:szCs w:val="28"/>
        </w:rPr>
        <w:t>».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доступ к ее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 и текст дополнений (если таковые имеются).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итоговой аттестации. 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b/>
          <w:sz w:val="28"/>
          <w:szCs w:val="28"/>
        </w:rPr>
        <w:t>Темы контрольных работ (выполняется в осеннем семестре)</w:t>
      </w:r>
    </w:p>
    <w:p>
      <w:pPr>
        <w:pStyle w:val="Normal"/>
        <w:bidi w:val="0"/>
        <w:spacing w:lineRule="auto" w:line="360"/>
        <w:jc w:val="left"/>
        <w:rPr/>
      </w:pPr>
      <w:r>
        <w:rPr>
          <w:rFonts w:cs="Times New Roman"/>
          <w:b w:val="false"/>
          <w:bCs w:val="false"/>
          <w:sz w:val="28"/>
          <w:szCs w:val="28"/>
        </w:rPr>
        <w:t>1. Предпосылки возникновения PR. Социальные, экономические и политические причины возникновения связей с общественностью.</w:t>
      </w:r>
    </w:p>
    <w:p>
      <w:pPr>
        <w:pStyle w:val="Normal"/>
        <w:bidi w:val="0"/>
        <w:spacing w:lineRule="auto" w:line="360"/>
        <w:jc w:val="left"/>
        <w:rPr/>
      </w:pPr>
      <w:r>
        <w:rPr>
          <w:rFonts w:cs="Times New Roman"/>
          <w:b w:val="false"/>
          <w:bCs w:val="false"/>
          <w:sz w:val="28"/>
          <w:szCs w:val="28"/>
        </w:rPr>
        <w:t>2. Основные исторические этапы становления и развития PR в США, за рубежом.</w:t>
        <w:br/>
        <w:t xml:space="preserve">3. Развитие западного и российского PR в ХХ-XXI вв. </w:t>
        <w:br/>
        <w:t xml:space="preserve">4. PR как профессия, первые профессионалы и основные профессиональные объединения в области PR. </w:t>
        <w:br/>
        <w:t>5. Основные подходы к определению PR. Сущность, цели и задачи связей с общественностью.</w:t>
        <w:br/>
        <w:t xml:space="preserve">6. Этическое регулирование деятельности в сфере связей с общественностью. </w:t>
        <w:br/>
        <w:t xml:space="preserve">7. Содержание деятельности PR: компоненты, направления и сферы применения. </w:t>
        <w:br/>
        <w:t xml:space="preserve">8. PR  в современном мире. Организационные формы 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PR-</w:t>
      </w:r>
      <w:r>
        <w:rPr>
          <w:rFonts w:cs="Times New Roman"/>
          <w:b w:val="false"/>
          <w:bCs w:val="false"/>
          <w:sz w:val="28"/>
          <w:szCs w:val="28"/>
          <w:lang w:val="ru-RU"/>
        </w:rPr>
        <w:t>деятельности.</w:t>
      </w:r>
      <w:r>
        <w:rPr>
          <w:rFonts w:cs="Times New Roman"/>
          <w:b w:val="false"/>
          <w:bCs w:val="false"/>
          <w:sz w:val="28"/>
          <w:szCs w:val="28"/>
        </w:rPr>
        <w:br/>
        <w:t>9. PR как коммуникация. Коммуникативная модель PR. Элементы и этапы процесса коммуникации.</w:t>
        <w:br/>
        <w:t>10. Коммуникационные барьеры и способы их преодоления.</w:t>
        <w:br/>
        <w:t>11.Модель коммуникации Г. Лассуэла и модель коммуникации О. Шрамма.</w:t>
        <w:br/>
        <w:t xml:space="preserve">12.Модель PR  Дж. Грюнига и Т. Ханта. Практическое применение коммуникационных моделей  в 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PR</w:t>
      </w:r>
      <w:r>
        <w:rPr>
          <w:rFonts w:cs="Times New Roman"/>
          <w:b w:val="false"/>
          <w:bCs w:val="false"/>
          <w:sz w:val="28"/>
          <w:szCs w:val="28"/>
          <w:lang w:val="ru-RU"/>
        </w:rPr>
        <w:t>-деятельности</w:t>
      </w:r>
      <w:r>
        <w:rPr>
          <w:rFonts w:cs="Times New Roman"/>
          <w:b w:val="false"/>
          <w:bCs w:val="false"/>
          <w:sz w:val="28"/>
          <w:szCs w:val="28"/>
        </w:rPr>
        <w:br/>
        <w:t>13. Мультишаговая модель коммуникации. Колесо Бернштейна.</w:t>
        <w:br/>
        <w:t>14. Модель диффузных кругов и модель «иерархии воздействий».</w:t>
        <w:br/>
        <w:t>15. Понятие «общественности» в теории о связях с общественностью. Соотношение понятий «общественность» и «аудитория» в PR.</w:t>
        <w:br/>
        <w:t>16. Ситуативный подход к формированию групп общественности. Типология общественности Дж. Грюнига.</w:t>
        <w:br/>
        <w:t>17.Понятие «общественного мнения», его содержание и структура.</w:t>
        <w:br/>
        <w:t>18. Закономерности общественного мнения и основы управления общественным мнением.</w:t>
        <w:br/>
        <w:t xml:space="preserve">19. Социологические исследования в PR. Качественные исследования. </w:t>
        <w:br/>
        <w:t>20. Методы и приемы сбора информации.</w:t>
        <w:br/>
        <w:t xml:space="preserve">21. Проблема выборки, типы и виды выборки в исследовании. </w:t>
        <w:br/>
        <w:t xml:space="preserve">22. Медиаисследования: цели, задачи, виды. </w:t>
        <w:br/>
        <w:t>23. Метод конте</w:t>
      </w:r>
      <w:r>
        <w:rPr>
          <w:rFonts w:cs="Times New Roman"/>
          <w:b w:val="false"/>
          <w:bCs w:val="false"/>
          <w:sz w:val="28"/>
          <w:szCs w:val="28"/>
        </w:rPr>
        <w:t>н</w:t>
      </w:r>
      <w:r>
        <w:rPr>
          <w:rFonts w:cs="Times New Roman"/>
          <w:b w:val="false"/>
          <w:bCs w:val="false"/>
          <w:sz w:val="28"/>
          <w:szCs w:val="28"/>
        </w:rPr>
        <w:t>т-анализа: цель, основные единицы анализа</w:t>
        <w:br/>
        <w:t>24. Информационный и коммуникационный аудит.</w:t>
        <w:br/>
        <w:t>25. СМИ как инструмент PR. Традиционные и новые СМИ.</w:t>
        <w:br/>
        <w:t>26. Типы текстов в PR. Основные требования к PR тексту.</w:t>
        <w:br/>
        <w:t>27.Приемы конструирования новостной информации.</w:t>
        <w:br/>
        <w:t>28. Пресс-релиз: виды и содержание.</w:t>
        <w:br/>
        <w:t>29. Медиа-кит: требования к содержанию и использование.</w:t>
        <w:br/>
        <w:t>30. Создание информационных поводов. Этапы формирования собственного информационного потока</w:t>
      </w:r>
    </w:p>
    <w:p>
      <w:pPr>
        <w:pStyle w:val="Normal"/>
        <w:bidi w:val="0"/>
        <w:spacing w:lineRule="auto" w:line="360"/>
        <w:jc w:val="center"/>
        <w:rPr>
          <w:rFonts w:cs="Times New Roman"/>
          <w:b/>
          <w:b/>
          <w:sz w:val="28"/>
          <w:szCs w:val="28"/>
        </w:rPr>
      </w:pPr>
      <w:r>
        <w:rPr/>
      </w:r>
    </w:p>
    <w:p>
      <w:pPr>
        <w:pStyle w:val="Normal"/>
        <w:bidi w:val="0"/>
        <w:spacing w:lineRule="auto" w:line="360"/>
        <w:jc w:val="center"/>
        <w:rPr>
          <w:rFonts w:cs="Times New Roman"/>
          <w:b/>
          <w:b/>
          <w:sz w:val="28"/>
          <w:szCs w:val="28"/>
        </w:rPr>
      </w:pPr>
      <w:r>
        <w:rPr/>
      </w:r>
    </w:p>
    <w:p>
      <w:pPr>
        <w:pStyle w:val="Normal"/>
        <w:bidi w:val="0"/>
        <w:spacing w:lineRule="auto" w:line="360"/>
        <w:jc w:val="center"/>
        <w:rPr>
          <w:rFonts w:cs="Times New Roman"/>
          <w:b/>
          <w:b/>
          <w:sz w:val="28"/>
          <w:szCs w:val="28"/>
        </w:rPr>
      </w:pPr>
      <w:r>
        <w:rPr/>
      </w:r>
    </w:p>
    <w:p>
      <w:pPr>
        <w:pStyle w:val="Normal"/>
        <w:bidi w:val="0"/>
        <w:spacing w:lineRule="auto" w:line="360"/>
        <w:jc w:val="center"/>
        <w:rPr/>
      </w:pPr>
      <w:r>
        <w:rPr>
          <w:rFonts w:cs="Times New Roman"/>
          <w:b/>
          <w:sz w:val="28"/>
          <w:szCs w:val="28"/>
        </w:rPr>
        <w:t>Литература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1.  Варакута, С. А. Связи с общественностью : учебное пособие / С. А. Варакута. — Москва : ИНФРА-М, 2019. — 207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2. Душкина, М. Р. Технологии рекламы и связей с общественностью в маркетинге : учебник для вузов / М. Р. Душкина. – Москва : Издательство Юрайт, 2021. – 462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3. Емельянов, С. М. Интегрированные коммуникации (ТПСО) : учебное пособие для вузов / С. М. Емельянов. – 2-е изд., испр. и доп. – Москва : Издательство Юрайт, 2021. – 197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4. Жильцова, О. Н. Связи с общественностью : учебное пособие для вузов / О. Н. Жильцова, И. М. Синяева, Д. А. Жильцов. – Москва : Издательство Юрайт, 2021. – 337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5. Коноваленко, В. А. Реклама и связи с общественностью: введение в специальность : учебник / В. А. Коноваленко, М. Ю. Коноваленко, Н. Г. Швед. – Москва : Издательство Юрайт, 2021. – 383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6. Кузнецов, П. А. Public Relations. Связи с общественностью для бизнеса: практические приемы и технологии / П. А. Кузнецов. — Москва : Дашков и К, 2021. — 294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7. Макарычев, В. Н. Система интегрированных коммуникаций рекламы и связей с общественностью / В. Н. Макарычев. – Москва : Научные технологии, 2020. – 118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8. Марков, А. А. Связи с общественностью в органах власти : учебник / А. А. Марков. – Москва : ИНФРА-М, 2019. – 190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9. Маслова, В. М. Связи с общественностью в управлении персоналом : учебное пособие / В. М. Маслова. – 2-е изд., перераб. и доп. – Москва : Вузовский учебник : ИНФРА-М, 2020. – 207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10. Морозова, Г. А. Психология рекламы и связей с общественностью : Учебное пособие / Г. А. Морозова, В. А. Зимин. – Самара : ООО «Научно-технический центр, 2020. – 160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11. Паблик-рилейшенз : Толковый словарь. – 3-е изд.. – Москва : Издательско-торговая корпорация «Дашков и К», 2020. – 198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12. Пак, В. В. Современные тенденции развития PR в России / В. В. Пак, Ю. В. Петренко // Научный электронный журнал Меридиан. – 2020. – № 9(43). – С. 547-549.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13. Патюкова, Р. В. Традиционные и инновационные технологии в рекламе и PR / Р. В. Патюкова, И. О. Никулин. – Краснодар : Кубанский государственный университет, 2020. – 210 с.</w:t>
      </w:r>
    </w:p>
    <w:p>
      <w:pPr>
        <w:pStyle w:val="Normal"/>
        <w:bidi w:val="0"/>
        <w:spacing w:lineRule="auto" w:line="360"/>
        <w:jc w:val="both"/>
        <w:rPr/>
      </w:pPr>
      <w:r>
        <w:rPr/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14. Почекаев, Р. Ю. История связей с общественностью : учебное пособие для вузов / Р. Ю. Почекаев. – 2-е изд., испр. и доп. – Москва : Издательство Юрайт, 2020. – 223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15. Сайкина, О. С. PR-деятельность в период цифровой экономики / О. С. Сайкина, А. В. Колесников // Инновационные процессы в образовании, науке и спорте. – Москва : Общество с ограниченной ответственностью «Русайнс», 2019. – С. 277-284.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16. Связи с общественностью в органах власти : Учебник / В. Н. Монахов, М. М. Васильева, В. В. Мехонцев [и др.]. – 2-е изд., пер. и доп. – Москва : Издательство Юрайт, 2020. – 366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17. Связи с общественностью как социальная инженерия : учебник для вузов / В. А. Ачкасова [и др.] ; под редакцией В. А. Ачкасовой, Л. В. Володиной. – 2-е изд., испр. и доп. – Москва : Издательство Юрайт, 2021. – 351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18. Синяева, И. М. Реклама и связи с общественностью : учебник для вузов / И. М. Синяева, О. Н. Жильцова, Д. А. Жильцов. – Москва : Издательство Юрайт, 2021. – 552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19. Фадеева, Е. Н. Связи с общественностью : учебник и практикум для вузов / Е. Н. Фадеева, А. В. Сафронов, М. А. Красильникова. – Москва : Издательство Юрайт, 2021. – 263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20. Чумиков, А. Н. Государственный PR: связи с общественностью для государственных организаций и проектов : учебник / А.Н. Чумиков, М.П. Бочаров. – 3-е изд., перераб. и доп. – Москва : ИНФРА-М, 2020. – 343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21. Чумиков, А. Н. Связи с общественностью. Практикум : учебное пособие для вузов / А. Н. Чумиков. – Москва : Издательство Юрайт, 2021. – 173 с.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22. Шарков, Ф. И. Интегрированные коммуникации: реклама, паблик рилейшнз, брендинг / Ф. И. Шарков. – 2-е издание, стереотипное. – Москва : Издательско-торговая корпорация «Дашков и К», 2020. – 322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23.Чумиков А.Н. Реклама и связи с общественностью: имидж, репутация, бренд. – М.: Аспект Пресс, 2016. – 159 с.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Коноваленко, В. А. Основы интегрированных коммуникаций : учебник и практикум для академического бакалавриата / В. А. Коноваленко, М. Ю. Коноваленко, Н. Г. Швед. — Москва : Издательство Юрайт, 2021. — 486 с. — (Бакалавр. Академический курс).— URL : https://urait.ru/bcode/484940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Музыкант, В. Л. Основы интегрированных коммуникаций: теория и современные практики в 2 ч. Часть 1. Стратегии, эффективный брендинг : учебник и практикум для вузов / В. Л. Музыкант. — 2-е изд., испр. и доп. — Москва : Издательство Юрайт, 2023. — 475 с. — (Высшее образование). — URL : https://urait.ru/bcode/512271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>Музыкант, В. Л. Основы интегрированных коммуникаций: теория и современные практики в 2 ч. Часть 2. SMM, рынок M&amp;A : учебник и практикум для вузов / В. Л. Музыкант. — 2-е изд., испр. и доп. — Москва : Издательство Юрайт, 2023. — 507 с. — (Высшее образование).  — URL : https://urait.ru/bcode/512454</w:t>
      </w:r>
    </w:p>
    <w:p>
      <w:pPr>
        <w:pStyle w:val="Style24"/>
        <w:bidi w:val="0"/>
        <w:spacing w:lineRule="auto" w:line="360"/>
        <w:jc w:val="both"/>
        <w:rPr/>
      </w:pPr>
      <w:r>
        <w:rPr/>
      </w:r>
    </w:p>
    <w:p>
      <w:pPr>
        <w:pStyle w:val="Normal"/>
        <w:bidi w:val="0"/>
        <w:spacing w:lineRule="auto" w:line="360"/>
        <w:ind w:left="0" w:right="0" w:firstLine="720"/>
        <w:jc w:val="both"/>
        <w:rPr/>
      </w:pPr>
      <w:r>
        <w:rPr>
          <w:b/>
          <w:bCs/>
          <w:sz w:val="28"/>
          <w:szCs w:val="28"/>
        </w:rPr>
        <w:t xml:space="preserve">Интернет-ресурсы </w:t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0"/>
        <w:jc w:val="both"/>
        <w:rPr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 xml:space="preserve">Сайт Российской ассоциации по связям с общественностью (РАСО) – </w:t>
      </w:r>
      <w:hyperlink r:id="rId2">
        <w:r>
          <w:rPr>
            <w:rFonts w:eastAsia="Times New Roman"/>
            <w:sz w:val="28"/>
            <w:szCs w:val="28"/>
            <w:lang w:eastAsia="en-US"/>
          </w:rPr>
          <w:t>www.raso.ru</w:t>
        </w:r>
      </w:hyperlink>
    </w:p>
    <w:p>
      <w:pPr>
        <w:pStyle w:val="Normal"/>
        <w:numPr>
          <w:ilvl w:val="0"/>
          <w:numId w:val="2"/>
        </w:numPr>
        <w:bidi w:val="0"/>
        <w:spacing w:lineRule="auto" w:line="360" w:before="0" w:after="0"/>
        <w:jc w:val="both"/>
        <w:rPr/>
      </w:pPr>
      <w:r>
        <w:rPr>
          <w:sz w:val="28"/>
          <w:szCs w:val="28"/>
        </w:rPr>
        <w:t>Все о рекламе, маркетинге и PR Advertology.Ru</w:t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0"/>
        <w:jc w:val="both"/>
        <w:rPr/>
      </w:pPr>
      <w:r>
        <w:rPr>
          <w:sz w:val="28"/>
          <w:szCs w:val="28"/>
        </w:rPr>
        <w:t xml:space="preserve">Российское отраслевое СМИ в области рекламы, маркетинга и PR Sostav.ru </w:t>
      </w:r>
    </w:p>
    <w:p>
      <w:pPr>
        <w:pStyle w:val="Normal"/>
        <w:numPr>
          <w:ilvl w:val="0"/>
          <w:numId w:val="2"/>
        </w:numPr>
        <w:bidi w:val="0"/>
        <w:spacing w:lineRule="auto" w:line="360" w:before="0" w:after="0"/>
        <w:jc w:val="both"/>
        <w:rPr/>
      </w:pPr>
      <w:r>
        <w:rPr>
          <w:sz w:val="28"/>
          <w:szCs w:val="28"/>
        </w:rPr>
        <w:t>Ассоциация компаний консультантов в области связей с общественностью akospr.ru</w:t>
      </w:r>
    </w:p>
    <w:p>
      <w:pPr>
        <w:pStyle w:val="Normal"/>
        <w:bidi w:val="0"/>
        <w:spacing w:lineRule="auto" w:line="360"/>
        <w:jc w:val="both"/>
        <w:rPr/>
      </w:pPr>
      <w:r>
        <w:rPr/>
      </w:r>
    </w:p>
    <w:p>
      <w:pPr>
        <w:pStyle w:val="Normal"/>
        <w:bidi w:val="0"/>
        <w:spacing w:lineRule="auto" w:line="360"/>
        <w:jc w:val="both"/>
        <w:rPr/>
      </w:pPr>
      <w:r>
        <w:rPr/>
      </w:r>
    </w:p>
    <w:p>
      <w:pPr>
        <w:pStyle w:val="Normal"/>
        <w:bidi w:val="0"/>
        <w:spacing w:lineRule="auto" w:line="36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spacing w:before="0" w:after="160"/>
        <w:jc w:val="right"/>
        <w:rPr/>
      </w:pPr>
      <w:r>
        <w:rPr/>
      </w:r>
    </w:p>
    <w:sectPr>
      <w:type w:val="nextPage"/>
      <w:pgSz w:w="11906" w:h="16838"/>
      <w:pgMar w:left="1260" w:right="850" w:gutter="0" w:header="0" w:top="1134" w:footer="0" w:bottom="70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Times New Roman" w:hAnsi="Times New Roman" w:eastAsia="SimSun" w:cs="Times New Roman"/>
      <w:color w:val="00000A"/>
      <w:kern w:val="2"/>
      <w:sz w:val="24"/>
      <w:szCs w:val="24"/>
      <w:lang w:val="ru-RU" w:eastAsia="zh-CN" w:bidi="ar-SA"/>
    </w:rPr>
  </w:style>
  <w:style w:type="paragraph" w:styleId="1">
    <w:name w:val="Heading 1"/>
    <w:basedOn w:val="Normal"/>
    <w:qFormat/>
    <w:pPr>
      <w:keepNext w:val="true"/>
      <w:spacing w:lineRule="auto" w:line="360"/>
      <w:ind w:left="0" w:right="0" w:firstLine="709"/>
      <w:jc w:val="both"/>
    </w:pPr>
    <w:rPr>
      <w:bCs/>
      <w:sz w:val="32"/>
      <w:szCs w:val="32"/>
      <w:lang w:val="ru-RU"/>
    </w:rPr>
  </w:style>
  <w:style w:type="character" w:styleId="DefaultParagraphFont">
    <w:name w:val="Default Paragraph Font"/>
    <w:qFormat/>
    <w:rPr/>
  </w:style>
  <w:style w:type="character" w:styleId="FooterChar">
    <w:name w:val="Footer Char"/>
    <w:basedOn w:val="DefaultParagraphFont"/>
    <w:qFormat/>
    <w:rPr>
      <w:rFonts w:ascii="Times New Roman" w:hAnsi="Times New Roman" w:eastAsia="SimSu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qFormat/>
    <w:rPr>
      <w:rFonts w:cs="Times New Roman"/>
    </w:rPr>
  </w:style>
  <w:style w:type="character" w:styleId="HTML">
    <w:name w:val="Стандартный HTML Знак"/>
    <w:basedOn w:val="DefaultParagraphFont"/>
    <w:qFormat/>
    <w:rPr>
      <w:rFonts w:ascii="Courier New" w:hAnsi="Courier New" w:eastAsia="Times New Roman" w:cs="Courier New"/>
      <w:sz w:val="20"/>
      <w:szCs w:val="20"/>
      <w:lang w:eastAsia="zh-CN"/>
    </w:rPr>
  </w:style>
  <w:style w:type="character" w:styleId="WW8Num4z0">
    <w:name w:val="WW8Num4z0"/>
    <w:qFormat/>
    <w:rPr>
      <w:rFonts w:ascii="Times New Roman" w:hAnsi="Times New Roman" w:cs="Times New Roman"/>
      <w:sz w:val="24"/>
      <w:szCs w:val="24"/>
    </w:rPr>
  </w:style>
  <w:style w:type="character" w:styleId="WW8Num1z0">
    <w:name w:val="WW8Num1z0"/>
    <w:qFormat/>
    <w:rPr>
      <w:rFonts w:ascii="Times New Roman" w:hAnsi="Times New Roman" w:cs="Times New Roman"/>
      <w:sz w:val="28"/>
      <w:szCs w:val="28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Style23">
    <w:name w:val="Содержимое врезки"/>
    <w:basedOn w:val="Style16"/>
    <w:qFormat/>
    <w:pPr/>
    <w:rPr/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  <w:spacing w:lineRule="atLeast" w:line="100" w:before="0" w:after="0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2"/>
      <w:sz w:val="20"/>
      <w:szCs w:val="20"/>
      <w:lang w:val="ru-RU" w:eastAsia="zh-CN" w:bidi="ar-SA"/>
    </w:rPr>
  </w:style>
  <w:style w:type="paragraph" w:styleId="Style24">
    <w:name w:val="Абзац списка"/>
    <w:basedOn w:val="Normal"/>
    <w:qFormat/>
    <w:pPr>
      <w:ind w:left="708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so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LibreOffice/7.3.3.2$Windows_X86_64 LibreOffice_project/d1d0ea68f081ee2800a922cac8f79445e4603348</Application>
  <AppVersion>15.0000</AppVersion>
  <Pages>11</Pages>
  <Words>1778</Words>
  <Characters>11368</Characters>
  <CharactersWithSpaces>13229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2014-12-02T18:46:00Z</dcterms:created>
  <dc:creator>Маша</dc:creator>
  <dc:description/>
  <dc:language>ru-RU</dc:language>
  <cp:lastModifiedBy/>
  <dcterms:modified xsi:type="dcterms:W3CDTF">2024-11-08T06:47:47Z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